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9068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MH3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90683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90683" w:rsidRPr="00290683">
        <w:rPr>
          <w:rFonts w:ascii="Arial" w:hAnsi="Arial" w:cs="Arial"/>
          <w:sz w:val="20"/>
          <w:szCs w:val="20"/>
        </w:rPr>
        <w:t>Binh</w:t>
      </w:r>
      <w:proofErr w:type="spellEnd"/>
      <w:r w:rsidR="00290683" w:rsidRPr="00290683">
        <w:rPr>
          <w:rFonts w:ascii="Arial" w:hAnsi="Arial" w:cs="Arial"/>
          <w:sz w:val="20"/>
          <w:szCs w:val="20"/>
        </w:rPr>
        <w:t xml:space="preserve"> Long Rubber Industrial Park Corporation</w:t>
      </w:r>
      <w:r w:rsidR="0029068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D5F8B" w:rsidRDefault="002906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29068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290683">
        <w:rPr>
          <w:rFonts w:ascii="Arial" w:hAnsi="Arial" w:cs="Arial"/>
          <w:sz w:val="20"/>
          <w:szCs w:val="20"/>
        </w:rPr>
        <w:t xml:space="preserve"> approved the reports presented by the Board of Directors and the Supervisory Board at the Meeting, including: </w:t>
      </w:r>
    </w:p>
    <w:p w:rsidR="00FD5F8B" w:rsidRDefault="00FD5F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90683" w:rsidRPr="00290683">
        <w:rPr>
          <w:rFonts w:ascii="Arial" w:hAnsi="Arial" w:cs="Arial"/>
          <w:sz w:val="20"/>
          <w:szCs w:val="20"/>
        </w:rPr>
        <w:t xml:space="preserve">Operation report of the Board of Directors in 2019 and the orientation </w:t>
      </w:r>
      <w:r>
        <w:rPr>
          <w:rFonts w:ascii="Arial" w:hAnsi="Arial" w:cs="Arial"/>
          <w:sz w:val="20"/>
          <w:szCs w:val="20"/>
        </w:rPr>
        <w:t>of</w:t>
      </w:r>
      <w:r w:rsidR="00290683" w:rsidRPr="00290683">
        <w:rPr>
          <w:rFonts w:ascii="Arial" w:hAnsi="Arial" w:cs="Arial"/>
          <w:sz w:val="20"/>
          <w:szCs w:val="20"/>
        </w:rPr>
        <w:t xml:space="preserve"> operation in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FD5F8B" w:rsidRDefault="00FD5F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90683" w:rsidRPr="00290683">
        <w:rPr>
          <w:rFonts w:ascii="Arial" w:hAnsi="Arial" w:cs="Arial"/>
          <w:sz w:val="20"/>
          <w:szCs w:val="20"/>
        </w:rPr>
        <w:t xml:space="preserve"> Report on the activities of the </w:t>
      </w:r>
      <w:r>
        <w:rPr>
          <w:rFonts w:ascii="Arial" w:hAnsi="Arial" w:cs="Arial"/>
          <w:sz w:val="20"/>
          <w:szCs w:val="20"/>
        </w:rPr>
        <w:t>Supervisory Board</w:t>
      </w:r>
      <w:r w:rsidR="00290683" w:rsidRPr="00290683">
        <w:rPr>
          <w:rFonts w:ascii="Arial" w:hAnsi="Arial" w:cs="Arial"/>
          <w:sz w:val="20"/>
          <w:szCs w:val="20"/>
        </w:rPr>
        <w:t xml:space="preserve"> in 2</w:t>
      </w:r>
      <w:r>
        <w:rPr>
          <w:rFonts w:ascii="Arial" w:hAnsi="Arial" w:cs="Arial"/>
          <w:sz w:val="20"/>
          <w:szCs w:val="20"/>
        </w:rPr>
        <w:t>019 and the work plan for 2020</w:t>
      </w:r>
    </w:p>
    <w:p w:rsidR="00FD5F8B" w:rsidRDefault="00FD5F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290683" w:rsidRPr="0029068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approved the r</w:t>
      </w:r>
      <w:r w:rsidR="00290683" w:rsidRPr="00290683">
        <w:rPr>
          <w:rFonts w:ascii="Arial" w:hAnsi="Arial" w:cs="Arial"/>
          <w:sz w:val="20"/>
          <w:szCs w:val="20"/>
        </w:rPr>
        <w:t>eport on production and business results in 2019 and the direction for impleme</w:t>
      </w:r>
      <w:r>
        <w:rPr>
          <w:rFonts w:ascii="Arial" w:hAnsi="Arial" w:cs="Arial"/>
          <w:sz w:val="20"/>
          <w:szCs w:val="20"/>
        </w:rPr>
        <w:t>nting the business plan in 2020 as follows:</w:t>
      </w:r>
    </w:p>
    <w:p w:rsidR="00FD5F8B" w:rsidRDefault="002906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0683">
        <w:rPr>
          <w:rFonts w:ascii="Arial" w:hAnsi="Arial" w:cs="Arial"/>
          <w:sz w:val="20"/>
          <w:szCs w:val="20"/>
        </w:rPr>
        <w:t xml:space="preserve">1. Business results in 2019: </w:t>
      </w:r>
    </w:p>
    <w:p w:rsidR="00B02DDC" w:rsidRDefault="00FD5F8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90683" w:rsidRPr="00290683">
        <w:rPr>
          <w:rFonts w:ascii="Arial" w:hAnsi="Arial" w:cs="Arial"/>
          <w:sz w:val="20"/>
          <w:szCs w:val="20"/>
        </w:rPr>
        <w:t>Land area for rent in the year: 116,632.8 m</w:t>
      </w:r>
      <w:r w:rsidR="00B02DDC">
        <w:rPr>
          <w:rFonts w:ascii="Arial" w:hAnsi="Arial" w:cs="Arial"/>
          <w:sz w:val="20"/>
          <w:szCs w:val="20"/>
        </w:rPr>
        <w:t>2</w:t>
      </w:r>
    </w:p>
    <w:p w:rsidR="00B02DDC" w:rsidRDefault="00B02D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90683" w:rsidRPr="00290683">
        <w:rPr>
          <w:rFonts w:ascii="Arial" w:hAnsi="Arial" w:cs="Arial"/>
          <w:sz w:val="20"/>
          <w:szCs w:val="20"/>
        </w:rPr>
        <w:t>Accumula</w:t>
      </w:r>
      <w:r>
        <w:rPr>
          <w:rFonts w:ascii="Arial" w:hAnsi="Arial" w:cs="Arial"/>
          <w:sz w:val="20"/>
          <w:szCs w:val="20"/>
        </w:rPr>
        <w:t>ted leasing area: 2,143,018.4 m2</w:t>
      </w:r>
    </w:p>
    <w:p w:rsidR="00B02DDC" w:rsidRDefault="00B02D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revenue: VND 190.917 billion</w:t>
      </w:r>
    </w:p>
    <w:p w:rsidR="00B02DDC" w:rsidRDefault="00B02D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cost: VND 88.093 billion</w:t>
      </w:r>
    </w:p>
    <w:p w:rsidR="00B02DDC" w:rsidRDefault="00B02D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0683" w:rsidRPr="00290683">
        <w:rPr>
          <w:rFonts w:ascii="Arial" w:hAnsi="Arial" w:cs="Arial"/>
          <w:sz w:val="20"/>
          <w:szCs w:val="20"/>
        </w:rPr>
        <w:t xml:space="preserve"> Profit before tax: VND 102</w:t>
      </w:r>
      <w:r>
        <w:rPr>
          <w:rFonts w:ascii="Arial" w:hAnsi="Arial" w:cs="Arial"/>
          <w:sz w:val="20"/>
          <w:szCs w:val="20"/>
        </w:rPr>
        <w:t>.</w:t>
      </w:r>
      <w:r w:rsidR="00290683" w:rsidRPr="00290683">
        <w:rPr>
          <w:rFonts w:ascii="Arial" w:hAnsi="Arial" w:cs="Arial"/>
          <w:sz w:val="20"/>
          <w:szCs w:val="20"/>
        </w:rPr>
        <w:t>823 billion</w:t>
      </w:r>
    </w:p>
    <w:p w:rsidR="00B02DDC" w:rsidRDefault="00B02D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tax: VND 82.666 billion</w:t>
      </w:r>
    </w:p>
    <w:p w:rsidR="00E404A3" w:rsidRDefault="00B02D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4A3">
        <w:rPr>
          <w:rFonts w:ascii="Arial" w:hAnsi="Arial" w:cs="Arial"/>
          <w:sz w:val="20"/>
          <w:szCs w:val="20"/>
        </w:rPr>
        <w:t xml:space="preserve"> Profit</w:t>
      </w:r>
      <w:r w:rsidR="00290683" w:rsidRPr="00290683">
        <w:rPr>
          <w:rFonts w:ascii="Arial" w:hAnsi="Arial" w:cs="Arial"/>
          <w:sz w:val="20"/>
          <w:szCs w:val="20"/>
        </w:rPr>
        <w:t>/</w:t>
      </w:r>
      <w:r w:rsidR="00E404A3">
        <w:rPr>
          <w:rFonts w:ascii="Arial" w:hAnsi="Arial" w:cs="Arial"/>
          <w:sz w:val="20"/>
          <w:szCs w:val="20"/>
        </w:rPr>
        <w:t xml:space="preserve"> charter capital ratio: 68.89%</w:t>
      </w:r>
    </w:p>
    <w:p w:rsidR="00290683" w:rsidRDefault="002906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0683">
        <w:rPr>
          <w:rFonts w:ascii="Arial" w:hAnsi="Arial" w:cs="Arial"/>
          <w:sz w:val="20"/>
          <w:szCs w:val="20"/>
        </w:rPr>
        <w:t>2. Plan for production, business and capital construction investment in 2020:</w:t>
      </w:r>
    </w:p>
    <w:p w:rsidR="00AB43DA" w:rsidRDefault="00E404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4A3">
        <w:rPr>
          <w:rFonts w:ascii="Arial" w:hAnsi="Arial" w:cs="Arial"/>
          <w:sz w:val="20"/>
          <w:szCs w:val="20"/>
        </w:rPr>
        <w:t>a) Business and producti</w:t>
      </w:r>
      <w:r w:rsidR="00AB43DA">
        <w:rPr>
          <w:rFonts w:ascii="Arial" w:hAnsi="Arial" w:cs="Arial"/>
          <w:sz w:val="20"/>
          <w:szCs w:val="20"/>
        </w:rPr>
        <w:t>on plan in 2020 with some main indicators</w:t>
      </w:r>
      <w:r w:rsidRPr="00E404A3">
        <w:rPr>
          <w:rFonts w:ascii="Arial" w:hAnsi="Arial" w:cs="Arial"/>
          <w:sz w:val="20"/>
          <w:szCs w:val="20"/>
        </w:rPr>
        <w:t xml:space="preserve"> as follows: </w:t>
      </w:r>
    </w:p>
    <w:p w:rsidR="00AB43DA" w:rsidRDefault="00AB43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04A3" w:rsidRPr="00E404A3">
        <w:rPr>
          <w:rFonts w:ascii="Arial" w:hAnsi="Arial" w:cs="Arial"/>
          <w:sz w:val="20"/>
          <w:szCs w:val="20"/>
        </w:rPr>
        <w:t xml:space="preserve">Land area for rent: 0 m2 </w:t>
      </w:r>
    </w:p>
    <w:p w:rsidR="00AB43DA" w:rsidRDefault="00AB43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04A3" w:rsidRPr="00E404A3">
        <w:rPr>
          <w:rFonts w:ascii="Arial" w:hAnsi="Arial" w:cs="Arial"/>
          <w:sz w:val="20"/>
          <w:szCs w:val="20"/>
        </w:rPr>
        <w:t>Accumulat</w:t>
      </w:r>
      <w:r>
        <w:rPr>
          <w:rFonts w:ascii="Arial" w:hAnsi="Arial" w:cs="Arial"/>
          <w:sz w:val="20"/>
          <w:szCs w:val="20"/>
        </w:rPr>
        <w:t>ed area for rent: 2,143,018.4 m2</w:t>
      </w:r>
    </w:p>
    <w:p w:rsidR="00AB43DA" w:rsidRDefault="00AB43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revenue: VND 93.773 billion</w:t>
      </w:r>
    </w:p>
    <w:p w:rsidR="00AB43DA" w:rsidRDefault="00AB43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4A3" w:rsidRPr="00E404A3">
        <w:rPr>
          <w:rFonts w:ascii="Arial" w:hAnsi="Arial" w:cs="Arial"/>
          <w:sz w:val="20"/>
          <w:szCs w:val="20"/>
        </w:rPr>
        <w:t xml:space="preserve"> Total cost: </w:t>
      </w:r>
      <w:r>
        <w:rPr>
          <w:rFonts w:ascii="Arial" w:hAnsi="Arial" w:cs="Arial"/>
          <w:sz w:val="20"/>
          <w:szCs w:val="20"/>
        </w:rPr>
        <w:t xml:space="preserve">VND </w:t>
      </w:r>
      <w:r w:rsidR="00E404A3" w:rsidRPr="00E404A3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="00E404A3" w:rsidRPr="00E404A3">
        <w:rPr>
          <w:rFonts w:ascii="Arial" w:hAnsi="Arial" w:cs="Arial"/>
          <w:sz w:val="20"/>
          <w:szCs w:val="20"/>
        </w:rPr>
        <w:t xml:space="preserve">834 billion </w:t>
      </w:r>
    </w:p>
    <w:p w:rsidR="000A2280" w:rsidRDefault="00AB43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A2280">
        <w:rPr>
          <w:rFonts w:ascii="Arial" w:hAnsi="Arial" w:cs="Arial"/>
          <w:sz w:val="20"/>
          <w:szCs w:val="20"/>
        </w:rPr>
        <w:t>Profit before tax: VND 51.949 billion</w:t>
      </w:r>
    </w:p>
    <w:p w:rsidR="000A2280" w:rsidRDefault="000A228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4A3" w:rsidRPr="00E404A3">
        <w:rPr>
          <w:rFonts w:ascii="Arial" w:hAnsi="Arial" w:cs="Arial"/>
          <w:sz w:val="20"/>
          <w:szCs w:val="20"/>
        </w:rPr>
        <w:t xml:space="preserve"> Prof</w:t>
      </w:r>
      <w:r>
        <w:rPr>
          <w:rFonts w:ascii="Arial" w:hAnsi="Arial" w:cs="Arial"/>
          <w:sz w:val="20"/>
          <w:szCs w:val="20"/>
        </w:rPr>
        <w:t>it after tax: VND 42.</w:t>
      </w:r>
      <w:r w:rsidR="00E404A3" w:rsidRPr="00E404A3">
        <w:rPr>
          <w:rFonts w:ascii="Arial" w:hAnsi="Arial" w:cs="Arial"/>
          <w:sz w:val="20"/>
          <w:szCs w:val="20"/>
        </w:rPr>
        <w:t>984 billion</w:t>
      </w:r>
    </w:p>
    <w:p w:rsidR="000A2280" w:rsidRDefault="000A228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4A3" w:rsidRPr="00E404A3">
        <w:rPr>
          <w:rFonts w:ascii="Arial" w:hAnsi="Arial" w:cs="Arial"/>
          <w:sz w:val="20"/>
          <w:szCs w:val="20"/>
        </w:rPr>
        <w:t xml:space="preserve"> Profit/</w:t>
      </w:r>
      <w:r>
        <w:rPr>
          <w:rFonts w:ascii="Arial" w:hAnsi="Arial" w:cs="Arial"/>
          <w:sz w:val="20"/>
          <w:szCs w:val="20"/>
        </w:rPr>
        <w:t xml:space="preserve"> charter capital ratio: 35.82%</w:t>
      </w:r>
    </w:p>
    <w:p w:rsidR="000A2280" w:rsidRDefault="00E404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4A3">
        <w:rPr>
          <w:rFonts w:ascii="Arial" w:hAnsi="Arial" w:cs="Arial"/>
          <w:sz w:val="20"/>
          <w:szCs w:val="20"/>
        </w:rPr>
        <w:lastRenderedPageBreak/>
        <w:t xml:space="preserve">Plan for capital construction investment in 2020: </w:t>
      </w:r>
    </w:p>
    <w:p w:rsidR="000A2280" w:rsidRDefault="00E404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4A3">
        <w:rPr>
          <w:rFonts w:ascii="Arial" w:hAnsi="Arial" w:cs="Arial"/>
          <w:sz w:val="20"/>
          <w:szCs w:val="20"/>
        </w:rPr>
        <w:t xml:space="preserve">- Total investment capital: </w:t>
      </w:r>
      <w:r w:rsidR="000A2280">
        <w:rPr>
          <w:rFonts w:ascii="Arial" w:hAnsi="Arial" w:cs="Arial"/>
          <w:sz w:val="20"/>
          <w:szCs w:val="20"/>
        </w:rPr>
        <w:t>VND 55.</w:t>
      </w:r>
      <w:r w:rsidRPr="00E404A3">
        <w:rPr>
          <w:rFonts w:ascii="Arial" w:hAnsi="Arial" w:cs="Arial"/>
          <w:sz w:val="20"/>
          <w:szCs w:val="20"/>
        </w:rPr>
        <w:t xml:space="preserve">246 billion </w:t>
      </w:r>
    </w:p>
    <w:p w:rsidR="005E431F" w:rsidRDefault="00E404A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4A3">
        <w:rPr>
          <w:rFonts w:ascii="Arial" w:hAnsi="Arial" w:cs="Arial"/>
          <w:sz w:val="20"/>
          <w:szCs w:val="20"/>
        </w:rPr>
        <w:t xml:space="preserve">- Capital </w:t>
      </w:r>
      <w:r w:rsidR="005E431F">
        <w:rPr>
          <w:rFonts w:ascii="Arial" w:hAnsi="Arial" w:cs="Arial"/>
          <w:sz w:val="20"/>
          <w:szCs w:val="20"/>
        </w:rPr>
        <w:t>re</w:t>
      </w:r>
      <w:r w:rsidRPr="00E404A3">
        <w:rPr>
          <w:rFonts w:ascii="Arial" w:hAnsi="Arial" w:cs="Arial"/>
          <w:sz w:val="20"/>
          <w:szCs w:val="20"/>
        </w:rPr>
        <w:t>source</w:t>
      </w:r>
      <w:r w:rsidR="000A2280">
        <w:rPr>
          <w:rFonts w:ascii="Arial" w:hAnsi="Arial" w:cs="Arial"/>
          <w:sz w:val="20"/>
          <w:szCs w:val="20"/>
        </w:rPr>
        <w:t>s</w:t>
      </w:r>
      <w:r w:rsidRPr="00E404A3">
        <w:rPr>
          <w:rFonts w:ascii="Arial" w:hAnsi="Arial" w:cs="Arial"/>
          <w:sz w:val="20"/>
          <w:szCs w:val="20"/>
        </w:rPr>
        <w:t xml:space="preserve">: </w:t>
      </w:r>
    </w:p>
    <w:p w:rsidR="005E431F" w:rsidRDefault="005E431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Loan: </w:t>
      </w:r>
      <w:r w:rsidRPr="00E404A3">
        <w:rPr>
          <w:rFonts w:ascii="Arial" w:hAnsi="Arial" w:cs="Arial"/>
          <w:sz w:val="20"/>
          <w:szCs w:val="20"/>
        </w:rPr>
        <w:t>VND 30</w:t>
      </w:r>
      <w:r>
        <w:rPr>
          <w:rFonts w:ascii="Arial" w:hAnsi="Arial" w:cs="Arial"/>
          <w:sz w:val="20"/>
          <w:szCs w:val="20"/>
        </w:rPr>
        <w:t>.000 billion</w:t>
      </w:r>
    </w:p>
    <w:p w:rsidR="005E431F" w:rsidRDefault="005E431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Other capital: VND 25.246 billion</w:t>
      </w:r>
    </w:p>
    <w:p w:rsidR="00DC07F6" w:rsidRDefault="005E431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04A3" w:rsidRPr="00E404A3">
        <w:rPr>
          <w:rFonts w:ascii="Arial" w:hAnsi="Arial" w:cs="Arial"/>
          <w:sz w:val="20"/>
          <w:szCs w:val="20"/>
        </w:rPr>
        <w:t xml:space="preserve">Regarding the </w:t>
      </w:r>
      <w:r>
        <w:rPr>
          <w:rFonts w:ascii="Arial" w:hAnsi="Arial" w:cs="Arial"/>
          <w:sz w:val="20"/>
          <w:szCs w:val="20"/>
        </w:rPr>
        <w:t xml:space="preserve">target </w:t>
      </w:r>
      <w:r w:rsidR="00E404A3" w:rsidRPr="00E404A3">
        <w:rPr>
          <w:rFonts w:ascii="Arial" w:hAnsi="Arial" w:cs="Arial"/>
          <w:sz w:val="20"/>
          <w:szCs w:val="20"/>
        </w:rPr>
        <w:t xml:space="preserve">of capital construction, asking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E404A3" w:rsidRPr="00E404A3">
        <w:rPr>
          <w:rFonts w:ascii="Arial" w:hAnsi="Arial" w:cs="Arial"/>
          <w:sz w:val="20"/>
          <w:szCs w:val="20"/>
        </w:rPr>
        <w:t xml:space="preserve"> to assign the Board of Directors to consider adjusting the plan to suit the actual situation </w:t>
      </w:r>
      <w:r w:rsidR="00DC07F6">
        <w:rPr>
          <w:rFonts w:ascii="Arial" w:hAnsi="Arial" w:cs="Arial"/>
          <w:sz w:val="20"/>
          <w:szCs w:val="20"/>
        </w:rPr>
        <w:t>in the implementation process</w:t>
      </w:r>
    </w:p>
    <w:p w:rsidR="00DC07F6" w:rsidRDefault="00DC07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Agree to the policy for</w:t>
      </w:r>
      <w:r w:rsidR="00E404A3" w:rsidRPr="00E404A3">
        <w:rPr>
          <w:rFonts w:ascii="Arial" w:hAnsi="Arial" w:cs="Arial"/>
          <w:sz w:val="20"/>
          <w:szCs w:val="20"/>
        </w:rPr>
        <w:t xml:space="preserve"> expand</w:t>
      </w:r>
      <w:r>
        <w:rPr>
          <w:rFonts w:ascii="Arial" w:hAnsi="Arial" w:cs="Arial"/>
          <w:sz w:val="20"/>
          <w:szCs w:val="20"/>
        </w:rPr>
        <w:t>ing</w:t>
      </w:r>
      <w:r w:rsidR="00E404A3" w:rsidRPr="00E404A3">
        <w:rPr>
          <w:rFonts w:ascii="Arial" w:hAnsi="Arial" w:cs="Arial"/>
          <w:sz w:val="20"/>
          <w:szCs w:val="20"/>
        </w:rPr>
        <w:t xml:space="preserve"> Minh III Industrial Park, phase 2, with </w:t>
      </w:r>
      <w:r>
        <w:rPr>
          <w:rFonts w:ascii="Arial" w:hAnsi="Arial" w:cs="Arial"/>
          <w:sz w:val="20"/>
          <w:szCs w:val="20"/>
        </w:rPr>
        <w:t>an area of ​​577.53 ha.  Assign the</w:t>
      </w:r>
      <w:r w:rsidR="00E404A3" w:rsidRPr="00E404A3">
        <w:rPr>
          <w:rFonts w:ascii="Arial" w:hAnsi="Arial" w:cs="Arial"/>
          <w:sz w:val="20"/>
          <w:szCs w:val="20"/>
        </w:rPr>
        <w:t xml:space="preserve"> Board of Directors to deploy inve</w:t>
      </w:r>
      <w:r>
        <w:rPr>
          <w:rFonts w:ascii="Arial" w:hAnsi="Arial" w:cs="Arial"/>
          <w:sz w:val="20"/>
          <w:szCs w:val="20"/>
        </w:rPr>
        <w:t>stment procedures as prescribed</w:t>
      </w:r>
    </w:p>
    <w:p w:rsidR="00F91C04" w:rsidRDefault="00DC07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07F6">
        <w:rPr>
          <w:rFonts w:ascii="Arial" w:hAnsi="Arial" w:cs="Arial"/>
          <w:sz w:val="20"/>
          <w:szCs w:val="20"/>
        </w:rPr>
        <w:t>Article 3</w:t>
      </w:r>
      <w:r>
        <w:rPr>
          <w:rFonts w:ascii="Arial" w:hAnsi="Arial" w:cs="Arial"/>
          <w:sz w:val="20"/>
          <w:szCs w:val="20"/>
        </w:rPr>
        <w:t>:</w:t>
      </w:r>
      <w:r w:rsidRPr="00DC07F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approved</w:t>
      </w:r>
      <w:r w:rsidRPr="00DC07F6">
        <w:rPr>
          <w:rFonts w:ascii="Arial" w:hAnsi="Arial" w:cs="Arial"/>
          <w:sz w:val="20"/>
          <w:szCs w:val="20"/>
        </w:rPr>
        <w:t xml:space="preserve"> </w:t>
      </w:r>
      <w:r w:rsidR="00F91C04">
        <w:rPr>
          <w:rFonts w:ascii="Arial" w:hAnsi="Arial" w:cs="Arial"/>
          <w:sz w:val="20"/>
          <w:szCs w:val="20"/>
        </w:rPr>
        <w:t>authorizing</w:t>
      </w:r>
      <w:r w:rsidRPr="00DC07F6">
        <w:rPr>
          <w:rFonts w:ascii="Arial" w:hAnsi="Arial" w:cs="Arial"/>
          <w:sz w:val="20"/>
          <w:szCs w:val="20"/>
        </w:rPr>
        <w:t xml:space="preserve"> the Board of Directors to select one (1) of the three (3) auditing units to audit the </w:t>
      </w:r>
      <w:r w:rsidR="00F91C04">
        <w:rPr>
          <w:rFonts w:ascii="Arial" w:hAnsi="Arial" w:cs="Arial"/>
          <w:sz w:val="20"/>
          <w:szCs w:val="20"/>
        </w:rPr>
        <w:t>financial statement</w:t>
      </w:r>
      <w:r w:rsidRPr="00DC07F6">
        <w:rPr>
          <w:rFonts w:ascii="Arial" w:hAnsi="Arial" w:cs="Arial"/>
          <w:sz w:val="20"/>
          <w:szCs w:val="20"/>
        </w:rPr>
        <w:t xml:space="preserve"> of the Company in 2020 as follows: </w:t>
      </w:r>
    </w:p>
    <w:p w:rsidR="00F91C04" w:rsidRDefault="00F91C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AASC Auditing Firm Co., Ltd (AASC)</w:t>
      </w:r>
    </w:p>
    <w:p w:rsidR="00F91C04" w:rsidRDefault="00DC07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07F6">
        <w:rPr>
          <w:rFonts w:ascii="Arial" w:hAnsi="Arial" w:cs="Arial"/>
          <w:sz w:val="20"/>
          <w:szCs w:val="20"/>
        </w:rPr>
        <w:t xml:space="preserve">- Vietnam Auditing and </w:t>
      </w:r>
      <w:r w:rsidR="00F91C04">
        <w:rPr>
          <w:rFonts w:ascii="Arial" w:hAnsi="Arial" w:cs="Arial"/>
          <w:sz w:val="20"/>
          <w:szCs w:val="20"/>
        </w:rPr>
        <w:t>Valuation Company Limited (AVA)</w:t>
      </w:r>
    </w:p>
    <w:p w:rsidR="00DD67C0" w:rsidRDefault="00F91C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C07F6" w:rsidRPr="00DC07F6">
        <w:rPr>
          <w:rFonts w:ascii="Arial" w:hAnsi="Arial" w:cs="Arial"/>
          <w:sz w:val="20"/>
          <w:szCs w:val="20"/>
        </w:rPr>
        <w:t xml:space="preserve"> AFC Vietnam Auditing Co., Ltd </w:t>
      </w:r>
      <w:r w:rsidR="00DD67C0">
        <w:rPr>
          <w:rFonts w:ascii="Arial" w:hAnsi="Arial" w:cs="Arial"/>
          <w:sz w:val="20"/>
          <w:szCs w:val="20"/>
        </w:rPr>
        <w:t>(AFC)</w:t>
      </w:r>
    </w:p>
    <w:p w:rsidR="00DD67C0" w:rsidRDefault="00DC07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07F6">
        <w:rPr>
          <w:rFonts w:ascii="Arial" w:hAnsi="Arial" w:cs="Arial"/>
          <w:sz w:val="20"/>
          <w:szCs w:val="20"/>
        </w:rPr>
        <w:t>Article 4</w:t>
      </w:r>
      <w:r w:rsidR="00DD67C0">
        <w:rPr>
          <w:rFonts w:ascii="Arial" w:hAnsi="Arial" w:cs="Arial"/>
          <w:sz w:val="20"/>
          <w:szCs w:val="20"/>
        </w:rPr>
        <w:t>:</w:t>
      </w:r>
      <w:r w:rsidRPr="00DC07F6">
        <w:rPr>
          <w:rFonts w:ascii="Arial" w:hAnsi="Arial" w:cs="Arial"/>
          <w:sz w:val="20"/>
          <w:szCs w:val="20"/>
        </w:rPr>
        <w:t xml:space="preserve"> The </w:t>
      </w:r>
      <w:r w:rsidR="00DD67C0">
        <w:rPr>
          <w:rFonts w:ascii="Arial" w:hAnsi="Arial" w:cs="Arial"/>
          <w:sz w:val="20"/>
          <w:szCs w:val="20"/>
        </w:rPr>
        <w:t>annual General Meeting of Shareholders</w:t>
      </w:r>
      <w:r w:rsidRPr="00DC07F6">
        <w:rPr>
          <w:rFonts w:ascii="Arial" w:hAnsi="Arial" w:cs="Arial"/>
          <w:sz w:val="20"/>
          <w:szCs w:val="20"/>
        </w:rPr>
        <w:t xml:space="preserve"> approv</w:t>
      </w:r>
      <w:r w:rsidR="00DD67C0">
        <w:rPr>
          <w:rFonts w:ascii="Arial" w:hAnsi="Arial" w:cs="Arial"/>
          <w:sz w:val="20"/>
          <w:szCs w:val="20"/>
        </w:rPr>
        <w:t>ed the 2019 financial statement</w:t>
      </w:r>
      <w:r w:rsidRPr="00DC07F6">
        <w:rPr>
          <w:rFonts w:ascii="Arial" w:hAnsi="Arial" w:cs="Arial"/>
          <w:sz w:val="20"/>
          <w:szCs w:val="20"/>
        </w:rPr>
        <w:t xml:space="preserve"> audited by Vietnam </w:t>
      </w:r>
      <w:r w:rsidR="00DD67C0" w:rsidRPr="00DC07F6">
        <w:rPr>
          <w:rFonts w:ascii="Arial" w:hAnsi="Arial" w:cs="Arial"/>
          <w:sz w:val="20"/>
          <w:szCs w:val="20"/>
        </w:rPr>
        <w:t>Auditing</w:t>
      </w:r>
      <w:r w:rsidRPr="00DC07F6">
        <w:rPr>
          <w:rFonts w:ascii="Arial" w:hAnsi="Arial" w:cs="Arial"/>
          <w:sz w:val="20"/>
          <w:szCs w:val="20"/>
        </w:rPr>
        <w:t xml:space="preserve"> and</w:t>
      </w:r>
      <w:r w:rsidR="00DD67C0" w:rsidRPr="00DC07F6">
        <w:rPr>
          <w:rFonts w:ascii="Arial" w:hAnsi="Arial" w:cs="Arial"/>
          <w:sz w:val="20"/>
          <w:szCs w:val="20"/>
        </w:rPr>
        <w:t xml:space="preserve"> Valuation</w:t>
      </w:r>
      <w:r w:rsidRPr="00DC07F6">
        <w:rPr>
          <w:rFonts w:ascii="Arial" w:hAnsi="Arial" w:cs="Arial"/>
          <w:sz w:val="20"/>
          <w:szCs w:val="20"/>
        </w:rPr>
        <w:t xml:space="preserve"> </w:t>
      </w:r>
      <w:r w:rsidR="00DD67C0">
        <w:rPr>
          <w:rFonts w:ascii="Arial" w:hAnsi="Arial" w:cs="Arial"/>
          <w:sz w:val="20"/>
          <w:szCs w:val="20"/>
        </w:rPr>
        <w:t>Company Limited</w:t>
      </w:r>
    </w:p>
    <w:p w:rsidR="00DD67C0" w:rsidRDefault="00DC07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07F6">
        <w:rPr>
          <w:rFonts w:ascii="Arial" w:hAnsi="Arial" w:cs="Arial"/>
          <w:sz w:val="20"/>
          <w:szCs w:val="20"/>
        </w:rPr>
        <w:t xml:space="preserve">Article 5. The </w:t>
      </w:r>
      <w:r w:rsidR="00DD67C0">
        <w:rPr>
          <w:rFonts w:ascii="Arial" w:hAnsi="Arial" w:cs="Arial"/>
          <w:sz w:val="20"/>
          <w:szCs w:val="20"/>
        </w:rPr>
        <w:t>annual General Meeting of Shareholders approved</w:t>
      </w:r>
      <w:r w:rsidRPr="00DC07F6">
        <w:rPr>
          <w:rFonts w:ascii="Arial" w:hAnsi="Arial" w:cs="Arial"/>
          <w:sz w:val="20"/>
          <w:szCs w:val="20"/>
        </w:rPr>
        <w:t xml:space="preserve"> </w:t>
      </w:r>
      <w:r w:rsidR="00DD67C0">
        <w:rPr>
          <w:rFonts w:ascii="Arial" w:hAnsi="Arial" w:cs="Arial"/>
          <w:sz w:val="20"/>
          <w:szCs w:val="20"/>
        </w:rPr>
        <w:t>the profit distribution plan for</w:t>
      </w:r>
      <w:r w:rsidRPr="00DC07F6">
        <w:rPr>
          <w:rFonts w:ascii="Arial" w:hAnsi="Arial" w:cs="Arial"/>
          <w:sz w:val="20"/>
          <w:szCs w:val="20"/>
        </w:rPr>
        <w:t xml:space="preserve"> 2019</w:t>
      </w:r>
      <w:r w:rsidR="00DD67C0">
        <w:rPr>
          <w:rFonts w:ascii="Arial" w:hAnsi="Arial" w:cs="Arial"/>
          <w:sz w:val="20"/>
          <w:szCs w:val="20"/>
        </w:rPr>
        <w:t xml:space="preserve"> and profit distribution plan for</w:t>
      </w:r>
      <w:r w:rsidRPr="00DC07F6">
        <w:rPr>
          <w:rFonts w:ascii="Arial" w:hAnsi="Arial" w:cs="Arial"/>
          <w:sz w:val="20"/>
          <w:szCs w:val="20"/>
        </w:rPr>
        <w:t xml:space="preserve"> 2020, with the following targets: </w:t>
      </w:r>
    </w:p>
    <w:p w:rsidR="00DD67C0" w:rsidRDefault="00DC07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07F6">
        <w:rPr>
          <w:rFonts w:ascii="Arial" w:hAnsi="Arial" w:cs="Arial"/>
          <w:sz w:val="20"/>
          <w:szCs w:val="20"/>
        </w:rPr>
        <w:t>1. Profit distrib</w:t>
      </w:r>
      <w:r w:rsidR="00DD67C0">
        <w:rPr>
          <w:rFonts w:ascii="Arial" w:hAnsi="Arial" w:cs="Arial"/>
          <w:sz w:val="20"/>
          <w:szCs w:val="20"/>
        </w:rPr>
        <w:t>ution plan for</w:t>
      </w:r>
      <w:r w:rsidRPr="00DC07F6">
        <w:rPr>
          <w:rFonts w:ascii="Arial" w:hAnsi="Arial" w:cs="Arial"/>
          <w:sz w:val="20"/>
          <w:szCs w:val="20"/>
        </w:rPr>
        <w:t xml:space="preserve"> 2019: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1890"/>
        <w:gridCol w:w="2898"/>
      </w:tblGrid>
      <w:tr w:rsidR="00DC5610" w:rsidTr="0018782B">
        <w:tc>
          <w:tcPr>
            <w:tcW w:w="558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890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%/ profit</w:t>
            </w:r>
          </w:p>
        </w:tc>
        <w:tc>
          <w:tcPr>
            <w:tcW w:w="2898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DC5610" w:rsidTr="0018782B">
        <w:tc>
          <w:tcPr>
            <w:tcW w:w="558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DC5610" w:rsidRDefault="00DC5610" w:rsidP="001878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 xml:space="preserve">Undistributed profit of the previous year </w:t>
            </w:r>
            <w:r w:rsidR="0018782B">
              <w:rPr>
                <w:rFonts w:ascii="Arial" w:hAnsi="Arial" w:cs="Arial"/>
                <w:sz w:val="20"/>
                <w:szCs w:val="20"/>
              </w:rPr>
              <w:t>carried over</w:t>
            </w:r>
          </w:p>
        </w:tc>
        <w:tc>
          <w:tcPr>
            <w:tcW w:w="1890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>31,547,708,544</w:t>
            </w:r>
          </w:p>
        </w:tc>
      </w:tr>
      <w:tr w:rsidR="00DC5610" w:rsidTr="0018782B">
        <w:tc>
          <w:tcPr>
            <w:tcW w:w="558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DC5610" w:rsidRDefault="00DC5610" w:rsidP="00DC56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 xml:space="preserve">Profit after tax in 2019 </w:t>
            </w:r>
          </w:p>
        </w:tc>
        <w:tc>
          <w:tcPr>
            <w:tcW w:w="1890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>82,666,439,662</w:t>
            </w:r>
          </w:p>
        </w:tc>
      </w:tr>
      <w:tr w:rsidR="00DC5610" w:rsidTr="0018782B">
        <w:tc>
          <w:tcPr>
            <w:tcW w:w="558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DC5610" w:rsidRDefault="00DC5610" w:rsidP="00DC56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 xml:space="preserve">Total distributed profit </w:t>
            </w:r>
          </w:p>
        </w:tc>
        <w:tc>
          <w:tcPr>
            <w:tcW w:w="1890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98" w:type="dxa"/>
          </w:tcPr>
          <w:p w:rsidR="00DC5610" w:rsidRDefault="00DC56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>114,214,148,206</w:t>
            </w:r>
          </w:p>
        </w:tc>
      </w:tr>
      <w:tr w:rsidR="00DC5610" w:rsidTr="0018782B">
        <w:tc>
          <w:tcPr>
            <w:tcW w:w="558" w:type="dxa"/>
          </w:tcPr>
          <w:p w:rsidR="00DC5610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DC5610" w:rsidRDefault="00DC5610" w:rsidP="00DC56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>Dividend</w:t>
            </w:r>
            <w:r w:rsidR="0018782B">
              <w:rPr>
                <w:rFonts w:ascii="Arial" w:hAnsi="Arial" w:cs="Arial"/>
                <w:sz w:val="20"/>
                <w:szCs w:val="20"/>
              </w:rPr>
              <w:t xml:space="preserve"> (70%</w:t>
            </w:r>
            <w:r w:rsidRPr="00DC07F6">
              <w:rPr>
                <w:rFonts w:ascii="Arial" w:hAnsi="Arial" w:cs="Arial"/>
                <w:sz w:val="20"/>
                <w:szCs w:val="20"/>
              </w:rPr>
              <w:t>/ charter capital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DC5610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73.55</w:t>
            </w:r>
          </w:p>
        </w:tc>
        <w:tc>
          <w:tcPr>
            <w:tcW w:w="2898" w:type="dxa"/>
          </w:tcPr>
          <w:p w:rsidR="00DC5610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 xml:space="preserve">84,000,000,000  </w:t>
            </w:r>
          </w:p>
        </w:tc>
      </w:tr>
      <w:tr w:rsidR="00DC5610" w:rsidTr="0018782B">
        <w:tc>
          <w:tcPr>
            <w:tcW w:w="558" w:type="dxa"/>
          </w:tcPr>
          <w:p w:rsidR="00DC5610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DC5610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Reward Fund </w:t>
            </w:r>
          </w:p>
        </w:tc>
        <w:tc>
          <w:tcPr>
            <w:tcW w:w="1890" w:type="dxa"/>
          </w:tcPr>
          <w:p w:rsidR="00DC5610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</w:t>
            </w:r>
          </w:p>
        </w:tc>
        <w:tc>
          <w:tcPr>
            <w:tcW w:w="2898" w:type="dxa"/>
          </w:tcPr>
          <w:p w:rsidR="00DC5610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2,100,000,000</w:t>
            </w:r>
          </w:p>
        </w:tc>
      </w:tr>
      <w:tr w:rsidR="0018782B" w:rsidTr="0018782B">
        <w:tc>
          <w:tcPr>
            <w:tcW w:w="558" w:type="dxa"/>
          </w:tcPr>
          <w:p w:rsidR="0018782B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18782B" w:rsidRDefault="0018782B" w:rsidP="001878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Reward fund to the Management Board in case of completed operation plan </w:t>
            </w:r>
          </w:p>
        </w:tc>
        <w:tc>
          <w:tcPr>
            <w:tcW w:w="1890" w:type="dxa"/>
          </w:tcPr>
          <w:p w:rsidR="0018782B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2898" w:type="dxa"/>
          </w:tcPr>
          <w:p w:rsidR="0018782B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160,000,000</w:t>
            </w:r>
          </w:p>
        </w:tc>
      </w:tr>
      <w:tr w:rsidR="0018782B" w:rsidTr="0018782B">
        <w:tc>
          <w:tcPr>
            <w:tcW w:w="558" w:type="dxa"/>
          </w:tcPr>
          <w:p w:rsidR="0018782B" w:rsidRDefault="0018782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30" w:type="dxa"/>
          </w:tcPr>
          <w:p w:rsidR="0018782B" w:rsidRDefault="007349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carried over the next year</w:t>
            </w:r>
          </w:p>
        </w:tc>
        <w:tc>
          <w:tcPr>
            <w:tcW w:w="1890" w:type="dxa"/>
          </w:tcPr>
          <w:p w:rsidR="0018782B" w:rsidRDefault="007349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24.47</w:t>
            </w:r>
          </w:p>
        </w:tc>
        <w:tc>
          <w:tcPr>
            <w:tcW w:w="2898" w:type="dxa"/>
          </w:tcPr>
          <w:p w:rsidR="0018782B" w:rsidRDefault="0073492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27,954,148,206</w:t>
            </w:r>
          </w:p>
        </w:tc>
      </w:tr>
    </w:tbl>
    <w:p w:rsidR="00E404A3" w:rsidRDefault="00E404A3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925" w:rsidRDefault="00734925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Plan on profit distribution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1890"/>
        <w:gridCol w:w="2898"/>
      </w:tblGrid>
      <w:tr w:rsidR="00734925" w:rsidTr="002D650E">
        <w:tc>
          <w:tcPr>
            <w:tcW w:w="55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89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%/ profit</w:t>
            </w:r>
          </w:p>
        </w:tc>
        <w:tc>
          <w:tcPr>
            <w:tcW w:w="289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734925" w:rsidTr="002D650E">
        <w:tc>
          <w:tcPr>
            <w:tcW w:w="55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 xml:space="preserve">Undistributed profit of the previous year </w:t>
            </w:r>
            <w:r>
              <w:rPr>
                <w:rFonts w:ascii="Arial" w:hAnsi="Arial" w:cs="Arial"/>
                <w:sz w:val="20"/>
                <w:szCs w:val="20"/>
              </w:rPr>
              <w:t>carried over</w:t>
            </w:r>
          </w:p>
        </w:tc>
        <w:tc>
          <w:tcPr>
            <w:tcW w:w="189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27,954,148,206</w:t>
            </w:r>
          </w:p>
        </w:tc>
      </w:tr>
      <w:tr w:rsidR="00734925" w:rsidTr="002D650E">
        <w:tc>
          <w:tcPr>
            <w:tcW w:w="55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734925" w:rsidRDefault="00B13BBF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of 2020</w:t>
            </w:r>
          </w:p>
        </w:tc>
        <w:tc>
          <w:tcPr>
            <w:tcW w:w="189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734925" w:rsidRDefault="00B13BBF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42,984,000,000</w:t>
            </w:r>
          </w:p>
        </w:tc>
      </w:tr>
      <w:tr w:rsidR="00734925" w:rsidTr="002D650E">
        <w:tc>
          <w:tcPr>
            <w:tcW w:w="55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 xml:space="preserve">Total distributed profit </w:t>
            </w:r>
          </w:p>
        </w:tc>
        <w:tc>
          <w:tcPr>
            <w:tcW w:w="1890" w:type="dxa"/>
          </w:tcPr>
          <w:p w:rsidR="00734925" w:rsidRDefault="00B13BBF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98" w:type="dxa"/>
          </w:tcPr>
          <w:p w:rsidR="00734925" w:rsidRDefault="00B13BBF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70,938,148,206</w:t>
            </w:r>
          </w:p>
        </w:tc>
      </w:tr>
      <w:tr w:rsidR="00734925" w:rsidTr="002D650E">
        <w:tc>
          <w:tcPr>
            <w:tcW w:w="55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7F6">
              <w:rPr>
                <w:rFonts w:ascii="Arial" w:hAnsi="Arial" w:cs="Arial"/>
                <w:sz w:val="20"/>
                <w:szCs w:val="20"/>
              </w:rPr>
              <w:t>Dividend</w:t>
            </w:r>
            <w:r w:rsidR="00B13BBF">
              <w:rPr>
                <w:rFonts w:ascii="Arial" w:hAnsi="Arial" w:cs="Arial"/>
                <w:sz w:val="20"/>
                <w:szCs w:val="20"/>
              </w:rPr>
              <w:t xml:space="preserve"> (a minimum of 5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  <w:r w:rsidRPr="00DC07F6">
              <w:rPr>
                <w:rFonts w:ascii="Arial" w:hAnsi="Arial" w:cs="Arial"/>
                <w:sz w:val="20"/>
                <w:szCs w:val="20"/>
              </w:rPr>
              <w:t>/ charter capital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734925" w:rsidRDefault="00B13BBF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84.58</w:t>
            </w:r>
          </w:p>
        </w:tc>
        <w:tc>
          <w:tcPr>
            <w:tcW w:w="2898" w:type="dxa"/>
          </w:tcPr>
          <w:p w:rsidR="00734925" w:rsidRDefault="00B13BBF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60,000,000,000</w:t>
            </w:r>
          </w:p>
        </w:tc>
      </w:tr>
      <w:tr w:rsidR="00734925" w:rsidTr="002D650E">
        <w:tc>
          <w:tcPr>
            <w:tcW w:w="55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Reward Fund </w:t>
            </w:r>
          </w:p>
        </w:tc>
        <w:tc>
          <w:tcPr>
            <w:tcW w:w="1890" w:type="dxa"/>
          </w:tcPr>
          <w:p w:rsidR="00734925" w:rsidRDefault="00B13BBF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98" w:type="dxa"/>
          </w:tcPr>
          <w:p w:rsidR="00734925" w:rsidRDefault="00B13BBF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2,200,000,000</w:t>
            </w:r>
          </w:p>
        </w:tc>
      </w:tr>
      <w:tr w:rsidR="00734925" w:rsidTr="002D650E">
        <w:tc>
          <w:tcPr>
            <w:tcW w:w="55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Reward fund to the Management Board in case of completed operation plan </w:t>
            </w:r>
          </w:p>
        </w:tc>
        <w:tc>
          <w:tcPr>
            <w:tcW w:w="1890" w:type="dxa"/>
          </w:tcPr>
          <w:p w:rsidR="00734925" w:rsidRDefault="00FF5044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2898" w:type="dxa"/>
          </w:tcPr>
          <w:p w:rsidR="00734925" w:rsidRDefault="00FF5044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180,000,000</w:t>
            </w:r>
          </w:p>
        </w:tc>
      </w:tr>
      <w:tr w:rsidR="00734925" w:rsidTr="002D650E">
        <w:tc>
          <w:tcPr>
            <w:tcW w:w="558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734925" w:rsidRDefault="00734925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carried over the next year</w:t>
            </w:r>
          </w:p>
        </w:tc>
        <w:tc>
          <w:tcPr>
            <w:tcW w:w="1890" w:type="dxa"/>
          </w:tcPr>
          <w:p w:rsidR="00734925" w:rsidRDefault="00FF5044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898" w:type="dxa"/>
          </w:tcPr>
          <w:p w:rsidR="00734925" w:rsidRDefault="00FF5044" w:rsidP="002D65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8,558,148,206</w:t>
            </w:r>
          </w:p>
        </w:tc>
      </w:tr>
    </w:tbl>
    <w:p w:rsidR="00734925" w:rsidRDefault="00734925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1D17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t>On the basis of the results of the profits made in 2020, the Board of Di</w:t>
      </w:r>
      <w:r>
        <w:rPr>
          <w:rFonts w:ascii="Arial" w:hAnsi="Arial" w:cs="Arial"/>
          <w:sz w:val="20"/>
          <w:szCs w:val="20"/>
        </w:rPr>
        <w:t>rectors will submit the plan on profit distribution for</w:t>
      </w:r>
      <w:r w:rsidRPr="007D1D17">
        <w:rPr>
          <w:rFonts w:ascii="Arial" w:hAnsi="Arial" w:cs="Arial"/>
          <w:sz w:val="20"/>
          <w:szCs w:val="20"/>
        </w:rPr>
        <w:t xml:space="preserve"> 2020 </w:t>
      </w:r>
      <w:r>
        <w:rPr>
          <w:rFonts w:ascii="Arial" w:hAnsi="Arial" w:cs="Arial"/>
          <w:sz w:val="20"/>
          <w:szCs w:val="20"/>
        </w:rPr>
        <w:t xml:space="preserve">at </w:t>
      </w:r>
      <w:r w:rsidRPr="007D1D17">
        <w:rPr>
          <w:rFonts w:ascii="Arial" w:hAnsi="Arial" w:cs="Arial"/>
          <w:sz w:val="20"/>
          <w:szCs w:val="20"/>
        </w:rPr>
        <w:t>the Annual General Me</w:t>
      </w:r>
      <w:r>
        <w:rPr>
          <w:rFonts w:ascii="Arial" w:hAnsi="Arial" w:cs="Arial"/>
          <w:sz w:val="20"/>
          <w:szCs w:val="20"/>
        </w:rPr>
        <w:t>eting of Shareholders in 2021</w:t>
      </w:r>
    </w:p>
    <w:p w:rsidR="00AA7D18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t xml:space="preserve">Article 6.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D1D17">
        <w:rPr>
          <w:rFonts w:ascii="Arial" w:hAnsi="Arial" w:cs="Arial"/>
          <w:sz w:val="20"/>
          <w:szCs w:val="20"/>
        </w:rPr>
        <w:t xml:space="preserve"> approve</w:t>
      </w:r>
      <w:r>
        <w:rPr>
          <w:rFonts w:ascii="Arial" w:hAnsi="Arial" w:cs="Arial"/>
          <w:sz w:val="20"/>
          <w:szCs w:val="20"/>
        </w:rPr>
        <w:t>d</w:t>
      </w:r>
      <w:r w:rsidRPr="007D1D17">
        <w:rPr>
          <w:rFonts w:ascii="Arial" w:hAnsi="Arial" w:cs="Arial"/>
          <w:sz w:val="20"/>
          <w:szCs w:val="20"/>
        </w:rPr>
        <w:t xml:space="preserve"> the remuneration for the Board of Directors, the Supervisory Board and the salary for the </w:t>
      </w:r>
      <w:r w:rsidR="00AA7D18">
        <w:rPr>
          <w:rFonts w:ascii="Arial" w:hAnsi="Arial" w:cs="Arial"/>
          <w:sz w:val="20"/>
          <w:szCs w:val="20"/>
        </w:rPr>
        <w:t xml:space="preserve">full-time </w:t>
      </w:r>
      <w:r w:rsidRPr="007D1D17">
        <w:rPr>
          <w:rFonts w:ascii="Arial" w:hAnsi="Arial" w:cs="Arial"/>
          <w:sz w:val="20"/>
          <w:szCs w:val="20"/>
        </w:rPr>
        <w:t xml:space="preserve">Head of the </w:t>
      </w:r>
      <w:r w:rsidR="00AA7D18">
        <w:rPr>
          <w:rFonts w:ascii="Arial" w:hAnsi="Arial" w:cs="Arial"/>
          <w:sz w:val="20"/>
          <w:szCs w:val="20"/>
        </w:rPr>
        <w:t>Supervisory Board</w:t>
      </w:r>
      <w:r w:rsidRPr="007D1D17">
        <w:rPr>
          <w:rFonts w:ascii="Arial" w:hAnsi="Arial" w:cs="Arial"/>
          <w:sz w:val="20"/>
          <w:szCs w:val="20"/>
        </w:rPr>
        <w:t xml:space="preserve"> </w:t>
      </w:r>
      <w:r w:rsidR="00AA7D18">
        <w:rPr>
          <w:rFonts w:ascii="Arial" w:hAnsi="Arial" w:cs="Arial"/>
          <w:sz w:val="20"/>
          <w:szCs w:val="20"/>
        </w:rPr>
        <w:t>in 2019 and the plan for 2020</w:t>
      </w:r>
      <w:r w:rsidRPr="007D1D17">
        <w:rPr>
          <w:rFonts w:ascii="Arial" w:hAnsi="Arial" w:cs="Arial"/>
          <w:sz w:val="20"/>
          <w:szCs w:val="20"/>
        </w:rPr>
        <w:t xml:space="preserve">: </w:t>
      </w:r>
    </w:p>
    <w:p w:rsidR="00AA7D18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t xml:space="preserve">1. Implementing in 2019: </w:t>
      </w:r>
    </w:p>
    <w:p w:rsidR="00AA7D18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t xml:space="preserve">+ Remuneration </w:t>
      </w:r>
      <w:r w:rsidR="00AA7D18">
        <w:rPr>
          <w:rFonts w:ascii="Arial" w:hAnsi="Arial" w:cs="Arial"/>
          <w:sz w:val="20"/>
          <w:szCs w:val="20"/>
        </w:rPr>
        <w:t>for the</w:t>
      </w:r>
      <w:r w:rsidRPr="007D1D17">
        <w:rPr>
          <w:rFonts w:ascii="Arial" w:hAnsi="Arial" w:cs="Arial"/>
          <w:sz w:val="20"/>
          <w:szCs w:val="20"/>
        </w:rPr>
        <w:t xml:space="preserve"> Board of Directors and Supervisory Board: VND 140,400,000</w:t>
      </w:r>
    </w:p>
    <w:p w:rsidR="00A80247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t xml:space="preserve">+ Full-time Head of the Supervisory Board: </w:t>
      </w:r>
      <w:r w:rsidR="00AA7D18">
        <w:rPr>
          <w:rFonts w:ascii="Arial" w:hAnsi="Arial" w:cs="Arial"/>
          <w:sz w:val="20"/>
          <w:szCs w:val="20"/>
        </w:rPr>
        <w:t xml:space="preserve">VND </w:t>
      </w:r>
      <w:r w:rsidRPr="007D1D17">
        <w:rPr>
          <w:rFonts w:ascii="Arial" w:hAnsi="Arial" w:cs="Arial"/>
          <w:sz w:val="20"/>
          <w:szCs w:val="20"/>
        </w:rPr>
        <w:t>280,368,569</w:t>
      </w:r>
    </w:p>
    <w:p w:rsidR="00A80247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t xml:space="preserve">2. Plan for 2020: </w:t>
      </w:r>
    </w:p>
    <w:p w:rsidR="00A80247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t xml:space="preserve">a) The remuneration for the Board of Directors and the Supervisory Board shall not exceed </w:t>
      </w:r>
      <w:r w:rsidR="00A80247">
        <w:rPr>
          <w:rFonts w:ascii="Arial" w:hAnsi="Arial" w:cs="Arial"/>
          <w:sz w:val="20"/>
          <w:szCs w:val="20"/>
        </w:rPr>
        <w:t>the following level:</w:t>
      </w:r>
    </w:p>
    <w:p w:rsidR="00A80247" w:rsidRDefault="00A8024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D1D17" w:rsidRPr="007D1D17">
        <w:rPr>
          <w:rFonts w:ascii="Arial" w:hAnsi="Arial" w:cs="Arial"/>
          <w:sz w:val="20"/>
          <w:szCs w:val="20"/>
        </w:rPr>
        <w:t xml:space="preserve"> Board of Directors: </w:t>
      </w:r>
    </w:p>
    <w:p w:rsidR="00A80247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t xml:space="preserve">+ Chairman of the </w:t>
      </w:r>
      <w:r w:rsidR="00A80247">
        <w:rPr>
          <w:rFonts w:ascii="Arial" w:hAnsi="Arial" w:cs="Arial"/>
          <w:sz w:val="20"/>
          <w:szCs w:val="20"/>
        </w:rPr>
        <w:t>Board of Directors: VND 2,000,000/ month</w:t>
      </w:r>
      <w:r w:rsidRPr="007D1D17">
        <w:rPr>
          <w:rFonts w:ascii="Arial" w:hAnsi="Arial" w:cs="Arial"/>
          <w:sz w:val="20"/>
          <w:szCs w:val="20"/>
        </w:rPr>
        <w:t>/ person</w:t>
      </w:r>
    </w:p>
    <w:p w:rsidR="00A80247" w:rsidRDefault="00A8024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7D1D17" w:rsidRPr="007D1D17">
        <w:rPr>
          <w:rFonts w:ascii="Arial" w:hAnsi="Arial" w:cs="Arial"/>
          <w:sz w:val="20"/>
          <w:szCs w:val="20"/>
        </w:rPr>
        <w:t xml:space="preserve"> Member of the Board of Directors: VND 1,500,000</w:t>
      </w:r>
      <w:r>
        <w:rPr>
          <w:rFonts w:ascii="Arial" w:hAnsi="Arial" w:cs="Arial"/>
          <w:sz w:val="20"/>
          <w:szCs w:val="20"/>
        </w:rPr>
        <w:t>/ month</w:t>
      </w:r>
      <w:r w:rsidR="007D1D17" w:rsidRPr="007D1D17">
        <w:rPr>
          <w:rFonts w:ascii="Arial" w:hAnsi="Arial" w:cs="Arial"/>
          <w:sz w:val="20"/>
          <w:szCs w:val="20"/>
        </w:rPr>
        <w:t xml:space="preserve">/ person </w:t>
      </w:r>
    </w:p>
    <w:p w:rsidR="000559F9" w:rsidRDefault="00A8024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Secretary of the Board of Directors: VND 1,000,000/ month</w:t>
      </w:r>
      <w:r w:rsidR="007D1D17" w:rsidRPr="007D1D17">
        <w:rPr>
          <w:rFonts w:ascii="Arial" w:hAnsi="Arial" w:cs="Arial"/>
          <w:sz w:val="20"/>
          <w:szCs w:val="20"/>
        </w:rPr>
        <w:t xml:space="preserve">/ person </w:t>
      </w:r>
    </w:p>
    <w:p w:rsidR="000559F9" w:rsidRDefault="000559F9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D1D17" w:rsidRPr="007D1D17">
        <w:rPr>
          <w:rFonts w:ascii="Arial" w:hAnsi="Arial" w:cs="Arial"/>
          <w:sz w:val="20"/>
          <w:szCs w:val="20"/>
        </w:rPr>
        <w:t xml:space="preserve">Supervisory Board: </w:t>
      </w:r>
    </w:p>
    <w:p w:rsidR="000559F9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lastRenderedPageBreak/>
        <w:t>+ Members of the Boar</w:t>
      </w:r>
      <w:r w:rsidR="000559F9">
        <w:rPr>
          <w:rFonts w:ascii="Arial" w:hAnsi="Arial" w:cs="Arial"/>
          <w:sz w:val="20"/>
          <w:szCs w:val="20"/>
        </w:rPr>
        <w:t>d of Supervisors: VND 1,000,000/ month</w:t>
      </w:r>
      <w:r w:rsidRPr="007D1D17">
        <w:rPr>
          <w:rFonts w:ascii="Arial" w:hAnsi="Arial" w:cs="Arial"/>
          <w:sz w:val="20"/>
          <w:szCs w:val="20"/>
        </w:rPr>
        <w:t xml:space="preserve">/ person </w:t>
      </w:r>
    </w:p>
    <w:p w:rsidR="00FF5044" w:rsidRDefault="007D1D17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D17">
        <w:rPr>
          <w:rFonts w:ascii="Arial" w:hAnsi="Arial" w:cs="Arial"/>
          <w:sz w:val="20"/>
          <w:szCs w:val="20"/>
        </w:rPr>
        <w:t xml:space="preserve">b) </w:t>
      </w:r>
      <w:r w:rsidR="000559F9">
        <w:rPr>
          <w:rFonts w:ascii="Arial" w:hAnsi="Arial" w:cs="Arial"/>
          <w:sz w:val="20"/>
          <w:szCs w:val="20"/>
        </w:rPr>
        <w:t xml:space="preserve">The annual General Meeting of Shareholders approved </w:t>
      </w:r>
      <w:r w:rsidRPr="007D1D17">
        <w:rPr>
          <w:rFonts w:ascii="Arial" w:hAnsi="Arial" w:cs="Arial"/>
          <w:sz w:val="20"/>
          <w:szCs w:val="20"/>
        </w:rPr>
        <w:t>the</w:t>
      </w:r>
      <w:r w:rsidR="005A4826">
        <w:rPr>
          <w:rFonts w:ascii="Arial" w:hAnsi="Arial" w:cs="Arial"/>
          <w:sz w:val="20"/>
          <w:szCs w:val="20"/>
        </w:rPr>
        <w:t xml:space="preserve"> salary of</w:t>
      </w:r>
      <w:r w:rsidRPr="007D1D17">
        <w:rPr>
          <w:rFonts w:ascii="Arial" w:hAnsi="Arial" w:cs="Arial"/>
          <w:sz w:val="20"/>
          <w:szCs w:val="20"/>
        </w:rPr>
        <w:t xml:space="preserve"> the </w:t>
      </w:r>
      <w:r w:rsidR="000559F9">
        <w:rPr>
          <w:rFonts w:ascii="Arial" w:hAnsi="Arial" w:cs="Arial"/>
          <w:sz w:val="20"/>
          <w:szCs w:val="20"/>
        </w:rPr>
        <w:t xml:space="preserve">full-time </w:t>
      </w:r>
      <w:r w:rsidRPr="007D1D17">
        <w:rPr>
          <w:rFonts w:ascii="Arial" w:hAnsi="Arial" w:cs="Arial"/>
          <w:sz w:val="20"/>
          <w:szCs w:val="20"/>
        </w:rPr>
        <w:t>Head of the Supervisory Board at the request of t</w:t>
      </w:r>
      <w:r w:rsidR="000559F9">
        <w:rPr>
          <w:rFonts w:ascii="Arial" w:hAnsi="Arial" w:cs="Arial"/>
          <w:sz w:val="20"/>
          <w:szCs w:val="20"/>
        </w:rPr>
        <w:t>he Board of Directors in 2020:</w:t>
      </w:r>
      <w:r w:rsidRPr="007D1D17">
        <w:rPr>
          <w:rFonts w:ascii="Arial" w:hAnsi="Arial" w:cs="Arial"/>
          <w:sz w:val="20"/>
          <w:szCs w:val="20"/>
        </w:rPr>
        <w:t xml:space="preserve"> VND 275,000,000, </w:t>
      </w:r>
      <w:r w:rsidR="005A4826">
        <w:rPr>
          <w:rFonts w:ascii="Arial" w:hAnsi="Arial" w:cs="Arial"/>
          <w:sz w:val="20"/>
          <w:szCs w:val="20"/>
        </w:rPr>
        <w:t>from</w:t>
      </w:r>
      <w:r w:rsidRPr="007D1D17">
        <w:rPr>
          <w:rFonts w:ascii="Arial" w:hAnsi="Arial" w:cs="Arial"/>
          <w:sz w:val="20"/>
          <w:szCs w:val="20"/>
        </w:rPr>
        <w:t xml:space="preserve"> </w:t>
      </w:r>
      <w:r w:rsidR="005A4826">
        <w:rPr>
          <w:rFonts w:ascii="Arial" w:hAnsi="Arial" w:cs="Arial"/>
          <w:sz w:val="20"/>
          <w:szCs w:val="20"/>
        </w:rPr>
        <w:t>direct</w:t>
      </w:r>
      <w:r w:rsidRPr="007D1D17">
        <w:rPr>
          <w:rFonts w:ascii="Arial" w:hAnsi="Arial" w:cs="Arial"/>
          <w:sz w:val="20"/>
          <w:szCs w:val="20"/>
        </w:rPr>
        <w:t xml:space="preserve"> operating expenses of the Company</w:t>
      </w:r>
    </w:p>
    <w:p w:rsidR="005A4826" w:rsidRDefault="005A4826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826">
        <w:rPr>
          <w:rFonts w:ascii="Arial" w:hAnsi="Arial" w:cs="Arial"/>
          <w:sz w:val="20"/>
          <w:szCs w:val="20"/>
        </w:rPr>
        <w:t xml:space="preserve">Article 7. The </w:t>
      </w:r>
      <w:r>
        <w:rPr>
          <w:rFonts w:ascii="Arial" w:hAnsi="Arial" w:cs="Arial"/>
          <w:sz w:val="20"/>
          <w:szCs w:val="20"/>
        </w:rPr>
        <w:t>annual General Meeting of Shareholders approved the amendment to the C</w:t>
      </w:r>
      <w:r w:rsidRPr="005A4826">
        <w:rPr>
          <w:rFonts w:ascii="Arial" w:hAnsi="Arial" w:cs="Arial"/>
          <w:sz w:val="20"/>
          <w:szCs w:val="20"/>
        </w:rPr>
        <w:t xml:space="preserve">harter of </w:t>
      </w:r>
      <w:proofErr w:type="spellStart"/>
      <w:r w:rsidRPr="005A4826">
        <w:rPr>
          <w:rFonts w:ascii="Arial" w:hAnsi="Arial" w:cs="Arial"/>
          <w:sz w:val="20"/>
          <w:szCs w:val="20"/>
        </w:rPr>
        <w:t>Binh</w:t>
      </w:r>
      <w:proofErr w:type="spellEnd"/>
      <w:r w:rsidRPr="005A4826">
        <w:rPr>
          <w:rFonts w:ascii="Arial" w:hAnsi="Arial" w:cs="Arial"/>
          <w:sz w:val="20"/>
          <w:szCs w:val="20"/>
        </w:rPr>
        <w:t xml:space="preserve"> Long Rubber Industrial Park Corporation</w:t>
      </w:r>
      <w:r>
        <w:rPr>
          <w:rFonts w:ascii="Arial" w:hAnsi="Arial" w:cs="Arial"/>
          <w:sz w:val="20"/>
          <w:szCs w:val="20"/>
        </w:rPr>
        <w:t>.</w:t>
      </w:r>
      <w:r w:rsidRPr="005A4826">
        <w:rPr>
          <w:rFonts w:ascii="Arial" w:hAnsi="Arial" w:cs="Arial"/>
          <w:sz w:val="20"/>
          <w:szCs w:val="20"/>
        </w:rPr>
        <w:t xml:space="preserve"> Assign </w:t>
      </w:r>
      <w:r>
        <w:rPr>
          <w:rFonts w:ascii="Arial" w:hAnsi="Arial" w:cs="Arial"/>
          <w:sz w:val="20"/>
          <w:szCs w:val="20"/>
        </w:rPr>
        <w:t xml:space="preserve">the </w:t>
      </w:r>
      <w:r w:rsidRPr="005A4826">
        <w:rPr>
          <w:rFonts w:ascii="Arial" w:hAnsi="Arial" w:cs="Arial"/>
          <w:sz w:val="20"/>
          <w:szCs w:val="20"/>
        </w:rPr>
        <w:t>Board of Directors to amend and ap</w:t>
      </w:r>
      <w:r>
        <w:rPr>
          <w:rFonts w:ascii="Arial" w:hAnsi="Arial" w:cs="Arial"/>
          <w:sz w:val="20"/>
          <w:szCs w:val="20"/>
        </w:rPr>
        <w:t>prove according to regulations</w:t>
      </w:r>
    </w:p>
    <w:p w:rsidR="00AC032C" w:rsidRDefault="005A4826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Pr="005A482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5A4826">
        <w:rPr>
          <w:rFonts w:ascii="Arial" w:hAnsi="Arial" w:cs="Arial"/>
          <w:sz w:val="20"/>
          <w:szCs w:val="20"/>
        </w:rPr>
        <w:t xml:space="preserve"> approved the dismissal and the results of election of </w:t>
      </w:r>
      <w:r w:rsidR="00AC032C" w:rsidRPr="005A4826">
        <w:rPr>
          <w:rFonts w:ascii="Arial" w:hAnsi="Arial" w:cs="Arial"/>
          <w:sz w:val="20"/>
          <w:szCs w:val="20"/>
        </w:rPr>
        <w:t xml:space="preserve">additional </w:t>
      </w:r>
      <w:r w:rsidRPr="005A4826">
        <w:rPr>
          <w:rFonts w:ascii="Arial" w:hAnsi="Arial" w:cs="Arial"/>
          <w:sz w:val="20"/>
          <w:szCs w:val="20"/>
        </w:rPr>
        <w:t xml:space="preserve">members of the Board of Directors and Supervisory Board for the term </w:t>
      </w:r>
      <w:r w:rsidR="00AC032C">
        <w:rPr>
          <w:rFonts w:ascii="Arial" w:hAnsi="Arial" w:cs="Arial"/>
          <w:sz w:val="20"/>
          <w:szCs w:val="20"/>
        </w:rPr>
        <w:t xml:space="preserve">of </w:t>
      </w:r>
      <w:r w:rsidRPr="005A4826">
        <w:rPr>
          <w:rFonts w:ascii="Arial" w:hAnsi="Arial" w:cs="Arial"/>
          <w:sz w:val="20"/>
          <w:szCs w:val="20"/>
        </w:rPr>
        <w:t xml:space="preserve">2018 - 2023 as follows: </w:t>
      </w:r>
    </w:p>
    <w:p w:rsidR="00AC032C" w:rsidRDefault="005A4826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826">
        <w:rPr>
          <w:rFonts w:ascii="Arial" w:hAnsi="Arial" w:cs="Arial"/>
          <w:sz w:val="20"/>
          <w:szCs w:val="20"/>
        </w:rPr>
        <w:t xml:space="preserve">1. Dismissing members of the Board of Directors, Supervisory Board: </w:t>
      </w:r>
    </w:p>
    <w:p w:rsidR="00AC032C" w:rsidRDefault="005A4826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826">
        <w:rPr>
          <w:rFonts w:ascii="Arial" w:hAnsi="Arial" w:cs="Arial"/>
          <w:sz w:val="20"/>
          <w:szCs w:val="20"/>
        </w:rPr>
        <w:t xml:space="preserve">- Dismissing Mr. Huynh </w:t>
      </w:r>
      <w:r w:rsidR="00AC032C">
        <w:rPr>
          <w:rFonts w:ascii="Arial" w:hAnsi="Arial" w:cs="Arial"/>
          <w:sz w:val="20"/>
          <w:szCs w:val="20"/>
        </w:rPr>
        <w:t xml:space="preserve">Tan </w:t>
      </w:r>
      <w:proofErr w:type="spellStart"/>
      <w:r w:rsidR="00AC032C">
        <w:rPr>
          <w:rFonts w:ascii="Arial" w:hAnsi="Arial" w:cs="Arial"/>
          <w:sz w:val="20"/>
          <w:szCs w:val="20"/>
        </w:rPr>
        <w:t>Sieu</w:t>
      </w:r>
      <w:proofErr w:type="spellEnd"/>
      <w:r w:rsidR="00AC032C">
        <w:rPr>
          <w:rFonts w:ascii="Arial" w:hAnsi="Arial" w:cs="Arial"/>
          <w:sz w:val="20"/>
          <w:szCs w:val="20"/>
        </w:rPr>
        <w:t xml:space="preserve"> and Mr. Phan </w:t>
      </w:r>
      <w:proofErr w:type="spellStart"/>
      <w:r w:rsidR="00AC032C">
        <w:rPr>
          <w:rFonts w:ascii="Arial" w:hAnsi="Arial" w:cs="Arial"/>
          <w:sz w:val="20"/>
          <w:szCs w:val="20"/>
        </w:rPr>
        <w:t>Dinh</w:t>
      </w:r>
      <w:proofErr w:type="spellEnd"/>
      <w:r w:rsidR="00AC03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032C">
        <w:rPr>
          <w:rFonts w:ascii="Arial" w:hAnsi="Arial" w:cs="Arial"/>
          <w:sz w:val="20"/>
          <w:szCs w:val="20"/>
        </w:rPr>
        <w:t>Phuc</w:t>
      </w:r>
      <w:proofErr w:type="spellEnd"/>
      <w:r w:rsidR="00AC032C">
        <w:rPr>
          <w:rFonts w:ascii="Arial" w:hAnsi="Arial" w:cs="Arial"/>
          <w:sz w:val="20"/>
          <w:szCs w:val="20"/>
        </w:rPr>
        <w:t xml:space="preserve"> from members of the Board of Directors </w:t>
      </w:r>
    </w:p>
    <w:p w:rsidR="00AC032C" w:rsidRDefault="00AC032C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Dismissing Mr. Minh </w:t>
      </w:r>
      <w:proofErr w:type="spellStart"/>
      <w:r>
        <w:rPr>
          <w:rFonts w:ascii="Arial" w:hAnsi="Arial" w:cs="Arial"/>
          <w:sz w:val="20"/>
          <w:szCs w:val="20"/>
        </w:rPr>
        <w:t>Quoc</w:t>
      </w:r>
      <w:proofErr w:type="spellEnd"/>
      <w:r>
        <w:rPr>
          <w:rFonts w:ascii="Arial" w:hAnsi="Arial" w:cs="Arial"/>
          <w:sz w:val="20"/>
          <w:szCs w:val="20"/>
        </w:rPr>
        <w:t xml:space="preserve"> Sang from member of the Supervisory Board </w:t>
      </w:r>
    </w:p>
    <w:p w:rsidR="00AC032C" w:rsidRDefault="00AC032C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A4826" w:rsidRPr="005A4826">
        <w:rPr>
          <w:rFonts w:ascii="Arial" w:hAnsi="Arial" w:cs="Arial"/>
          <w:sz w:val="20"/>
          <w:szCs w:val="20"/>
        </w:rPr>
        <w:t xml:space="preserve"> Electing additional members of the Board of Directors,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5A4826" w:rsidRPr="005A4826">
        <w:rPr>
          <w:rFonts w:ascii="Arial" w:hAnsi="Arial" w:cs="Arial"/>
          <w:sz w:val="20"/>
          <w:szCs w:val="20"/>
        </w:rPr>
        <w:t xml:space="preserve">2018 - 2023: </w:t>
      </w:r>
    </w:p>
    <w:p w:rsidR="001068EB" w:rsidRDefault="005A4826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826">
        <w:rPr>
          <w:rFonts w:ascii="Arial" w:hAnsi="Arial" w:cs="Arial"/>
          <w:sz w:val="20"/>
          <w:szCs w:val="20"/>
        </w:rPr>
        <w:t xml:space="preserve">Electing the </w:t>
      </w:r>
      <w:r w:rsidR="00AC032C">
        <w:rPr>
          <w:rFonts w:ascii="Arial" w:hAnsi="Arial" w:cs="Arial"/>
          <w:sz w:val="20"/>
          <w:szCs w:val="20"/>
        </w:rPr>
        <w:t>additional members o</w:t>
      </w:r>
      <w:r w:rsidRPr="005A4826">
        <w:rPr>
          <w:rFonts w:ascii="Arial" w:hAnsi="Arial" w:cs="Arial"/>
          <w:sz w:val="20"/>
          <w:szCs w:val="20"/>
        </w:rPr>
        <w:t>f the Board of Directors: Mr. Ha Hue Hai and Mr. Pham Anh were elected to the Board of Directo</w:t>
      </w:r>
      <w:r w:rsidR="001068EB">
        <w:rPr>
          <w:rFonts w:ascii="Arial" w:hAnsi="Arial" w:cs="Arial"/>
          <w:sz w:val="20"/>
          <w:szCs w:val="20"/>
        </w:rPr>
        <w:t>rs for the term of 2018 – 2023</w:t>
      </w:r>
    </w:p>
    <w:p w:rsidR="001068EB" w:rsidRDefault="005A4826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826">
        <w:rPr>
          <w:rFonts w:ascii="Arial" w:hAnsi="Arial" w:cs="Arial"/>
          <w:sz w:val="20"/>
          <w:szCs w:val="20"/>
        </w:rPr>
        <w:t xml:space="preserve"> </w:t>
      </w:r>
      <w:r w:rsidR="001068EB">
        <w:rPr>
          <w:rFonts w:ascii="Arial" w:hAnsi="Arial" w:cs="Arial"/>
          <w:sz w:val="20"/>
          <w:szCs w:val="20"/>
        </w:rPr>
        <w:t>Election</w:t>
      </w:r>
      <w:r w:rsidRPr="005A4826">
        <w:rPr>
          <w:rFonts w:ascii="Arial" w:hAnsi="Arial" w:cs="Arial"/>
          <w:sz w:val="20"/>
          <w:szCs w:val="20"/>
        </w:rPr>
        <w:t xml:space="preserve"> of </w:t>
      </w:r>
      <w:r w:rsidR="001068EB">
        <w:rPr>
          <w:rFonts w:ascii="Arial" w:hAnsi="Arial" w:cs="Arial"/>
          <w:sz w:val="20"/>
          <w:szCs w:val="20"/>
        </w:rPr>
        <w:t xml:space="preserve">additional member of </w:t>
      </w:r>
      <w:r w:rsidRPr="005A4826">
        <w:rPr>
          <w:rFonts w:ascii="Arial" w:hAnsi="Arial" w:cs="Arial"/>
          <w:sz w:val="20"/>
          <w:szCs w:val="20"/>
        </w:rPr>
        <w:t xml:space="preserve">the Supervisory Board: Mr. Hoang Van </w:t>
      </w:r>
      <w:proofErr w:type="spellStart"/>
      <w:r w:rsidRPr="005A4826">
        <w:rPr>
          <w:rFonts w:ascii="Arial" w:hAnsi="Arial" w:cs="Arial"/>
          <w:sz w:val="20"/>
          <w:szCs w:val="20"/>
        </w:rPr>
        <w:t>Xuyen</w:t>
      </w:r>
      <w:proofErr w:type="spellEnd"/>
      <w:r w:rsidRPr="005A4826">
        <w:rPr>
          <w:rFonts w:ascii="Arial" w:hAnsi="Arial" w:cs="Arial"/>
          <w:sz w:val="20"/>
          <w:szCs w:val="20"/>
        </w:rPr>
        <w:t xml:space="preserve"> was elected to the Supervisory Board for the term </w:t>
      </w:r>
      <w:r w:rsidR="001068EB">
        <w:rPr>
          <w:rFonts w:ascii="Arial" w:hAnsi="Arial" w:cs="Arial"/>
          <w:sz w:val="20"/>
          <w:szCs w:val="20"/>
        </w:rPr>
        <w:t>of 2018-2023</w:t>
      </w:r>
    </w:p>
    <w:p w:rsidR="00A74991" w:rsidRDefault="001068EB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="005A4826" w:rsidRPr="005A482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5A4826" w:rsidRPr="005A4826">
        <w:rPr>
          <w:rFonts w:ascii="Arial" w:hAnsi="Arial" w:cs="Arial"/>
          <w:sz w:val="20"/>
          <w:szCs w:val="20"/>
        </w:rPr>
        <w:t xml:space="preserve"> assigns the Board of Directors to organize the implementation of this </w:t>
      </w:r>
      <w:r w:rsidR="00A74991">
        <w:rPr>
          <w:rFonts w:ascii="Arial" w:hAnsi="Arial" w:cs="Arial"/>
          <w:sz w:val="20"/>
          <w:szCs w:val="20"/>
        </w:rPr>
        <w:t>annual General Mandate</w:t>
      </w:r>
      <w:r w:rsidR="005A4826" w:rsidRPr="005A4826">
        <w:rPr>
          <w:rFonts w:ascii="Arial" w:hAnsi="Arial" w:cs="Arial"/>
          <w:sz w:val="20"/>
          <w:szCs w:val="20"/>
        </w:rPr>
        <w:t xml:space="preserve"> in accordance with the law and the Charter on organization and operation of the Company. This </w:t>
      </w:r>
      <w:r w:rsidR="00A74991">
        <w:rPr>
          <w:rFonts w:ascii="Arial" w:hAnsi="Arial" w:cs="Arial"/>
          <w:sz w:val="20"/>
          <w:szCs w:val="20"/>
        </w:rPr>
        <w:t>annual General Mandate</w:t>
      </w:r>
      <w:r w:rsidR="005A4826" w:rsidRPr="005A4826">
        <w:rPr>
          <w:rFonts w:ascii="Arial" w:hAnsi="Arial" w:cs="Arial"/>
          <w:sz w:val="20"/>
          <w:szCs w:val="20"/>
        </w:rPr>
        <w:t xml:space="preserve"> takes ef</w:t>
      </w:r>
      <w:r w:rsidR="00A74991">
        <w:rPr>
          <w:rFonts w:ascii="Arial" w:hAnsi="Arial" w:cs="Arial"/>
          <w:sz w:val="20"/>
          <w:szCs w:val="20"/>
        </w:rPr>
        <w:t>fect from the signing date</w:t>
      </w:r>
    </w:p>
    <w:p w:rsidR="005A4826" w:rsidRDefault="005A4826" w:rsidP="001878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826">
        <w:rPr>
          <w:rFonts w:ascii="Arial" w:hAnsi="Arial" w:cs="Arial"/>
          <w:sz w:val="20"/>
          <w:szCs w:val="20"/>
        </w:rPr>
        <w:t xml:space="preserve">This </w:t>
      </w:r>
      <w:r w:rsidR="00A74991">
        <w:rPr>
          <w:rFonts w:ascii="Arial" w:hAnsi="Arial" w:cs="Arial"/>
          <w:sz w:val="20"/>
          <w:szCs w:val="20"/>
        </w:rPr>
        <w:t>annual General Mandate was</w:t>
      </w:r>
      <w:r w:rsidRPr="005A4826">
        <w:rPr>
          <w:rFonts w:ascii="Arial" w:hAnsi="Arial" w:cs="Arial"/>
          <w:sz w:val="20"/>
          <w:szCs w:val="20"/>
        </w:rPr>
        <w:t xml:space="preserve"> approved by the Annual General Meeting of Shareholders in 2020 of </w:t>
      </w:r>
      <w:proofErr w:type="spellStart"/>
      <w:r w:rsidR="00A74991" w:rsidRPr="00A74991">
        <w:rPr>
          <w:rFonts w:ascii="Arial" w:hAnsi="Arial" w:cs="Arial"/>
          <w:sz w:val="20"/>
          <w:szCs w:val="20"/>
        </w:rPr>
        <w:t>Binh</w:t>
      </w:r>
      <w:proofErr w:type="spellEnd"/>
      <w:r w:rsidR="00A74991" w:rsidRPr="00A74991">
        <w:rPr>
          <w:rFonts w:ascii="Arial" w:hAnsi="Arial" w:cs="Arial"/>
          <w:sz w:val="20"/>
          <w:szCs w:val="20"/>
        </w:rPr>
        <w:t xml:space="preserve"> Long Rubber Industrial Park Corporation</w:t>
      </w:r>
      <w:r w:rsidR="007722B5">
        <w:rPr>
          <w:rFonts w:ascii="Arial" w:hAnsi="Arial" w:cs="Arial"/>
          <w:sz w:val="20"/>
          <w:szCs w:val="20"/>
        </w:rPr>
        <w:t>.</w:t>
      </w:r>
    </w:p>
    <w:sectPr w:rsidR="005A4826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2428"/>
    <w:rsid w:val="00045327"/>
    <w:rsid w:val="00050E3D"/>
    <w:rsid w:val="000512CE"/>
    <w:rsid w:val="000559F9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87E46"/>
    <w:rsid w:val="000935E2"/>
    <w:rsid w:val="00093CD4"/>
    <w:rsid w:val="000A0B74"/>
    <w:rsid w:val="000A2280"/>
    <w:rsid w:val="000A58A2"/>
    <w:rsid w:val="000A6020"/>
    <w:rsid w:val="000B0BF1"/>
    <w:rsid w:val="000B2BDB"/>
    <w:rsid w:val="000B2EF1"/>
    <w:rsid w:val="000B650A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068EB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8782B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0683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3167"/>
    <w:rsid w:val="00304722"/>
    <w:rsid w:val="00304D2B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15CD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6CC"/>
    <w:rsid w:val="003D3B1C"/>
    <w:rsid w:val="003E4C50"/>
    <w:rsid w:val="003E60D6"/>
    <w:rsid w:val="003E73CA"/>
    <w:rsid w:val="003F3274"/>
    <w:rsid w:val="00403A9C"/>
    <w:rsid w:val="00406ED4"/>
    <w:rsid w:val="004115D9"/>
    <w:rsid w:val="00411E47"/>
    <w:rsid w:val="00420169"/>
    <w:rsid w:val="00425406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2514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4826"/>
    <w:rsid w:val="005B1FDE"/>
    <w:rsid w:val="005B40E5"/>
    <w:rsid w:val="005B4761"/>
    <w:rsid w:val="005C0515"/>
    <w:rsid w:val="005C1B26"/>
    <w:rsid w:val="005C57E0"/>
    <w:rsid w:val="005C71E6"/>
    <w:rsid w:val="005D05F1"/>
    <w:rsid w:val="005D7F9C"/>
    <w:rsid w:val="005E0C06"/>
    <w:rsid w:val="005E17C2"/>
    <w:rsid w:val="005E26D3"/>
    <w:rsid w:val="005E431F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01D"/>
    <w:rsid w:val="007218D0"/>
    <w:rsid w:val="00732DC3"/>
    <w:rsid w:val="007336C9"/>
    <w:rsid w:val="0073373F"/>
    <w:rsid w:val="00734925"/>
    <w:rsid w:val="00744587"/>
    <w:rsid w:val="00745D9A"/>
    <w:rsid w:val="00746595"/>
    <w:rsid w:val="00747AF7"/>
    <w:rsid w:val="00750F3E"/>
    <w:rsid w:val="00757555"/>
    <w:rsid w:val="00757DC4"/>
    <w:rsid w:val="00766104"/>
    <w:rsid w:val="00767B2B"/>
    <w:rsid w:val="00772054"/>
    <w:rsid w:val="007722B5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1D17"/>
    <w:rsid w:val="007E003D"/>
    <w:rsid w:val="007E0993"/>
    <w:rsid w:val="007E0A58"/>
    <w:rsid w:val="007E0B9A"/>
    <w:rsid w:val="007F298E"/>
    <w:rsid w:val="007F3E9A"/>
    <w:rsid w:val="007F69B1"/>
    <w:rsid w:val="007F7BBC"/>
    <w:rsid w:val="0080000E"/>
    <w:rsid w:val="00802B62"/>
    <w:rsid w:val="008041F5"/>
    <w:rsid w:val="008049EC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6469"/>
    <w:rsid w:val="009264B0"/>
    <w:rsid w:val="009331DA"/>
    <w:rsid w:val="00934FC0"/>
    <w:rsid w:val="00937D79"/>
    <w:rsid w:val="009410B8"/>
    <w:rsid w:val="009464B8"/>
    <w:rsid w:val="00953E8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409F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4991"/>
    <w:rsid w:val="00A754EB"/>
    <w:rsid w:val="00A80247"/>
    <w:rsid w:val="00A81D58"/>
    <w:rsid w:val="00A85D43"/>
    <w:rsid w:val="00A87ED0"/>
    <w:rsid w:val="00A92963"/>
    <w:rsid w:val="00A97058"/>
    <w:rsid w:val="00AA077E"/>
    <w:rsid w:val="00AA4D2D"/>
    <w:rsid w:val="00AA54AD"/>
    <w:rsid w:val="00AA7D18"/>
    <w:rsid w:val="00AB2C99"/>
    <w:rsid w:val="00AB2EDA"/>
    <w:rsid w:val="00AB307B"/>
    <w:rsid w:val="00AB32F6"/>
    <w:rsid w:val="00AB43DA"/>
    <w:rsid w:val="00AB5145"/>
    <w:rsid w:val="00AB6C95"/>
    <w:rsid w:val="00AC032C"/>
    <w:rsid w:val="00AC1F4A"/>
    <w:rsid w:val="00AC4F64"/>
    <w:rsid w:val="00AC6BEF"/>
    <w:rsid w:val="00AC7E5F"/>
    <w:rsid w:val="00AD33D8"/>
    <w:rsid w:val="00AE3C3F"/>
    <w:rsid w:val="00AE5AD9"/>
    <w:rsid w:val="00AE6E83"/>
    <w:rsid w:val="00AF0142"/>
    <w:rsid w:val="00AF1999"/>
    <w:rsid w:val="00AF204F"/>
    <w:rsid w:val="00AF67BE"/>
    <w:rsid w:val="00B02DDC"/>
    <w:rsid w:val="00B04704"/>
    <w:rsid w:val="00B06970"/>
    <w:rsid w:val="00B10B5A"/>
    <w:rsid w:val="00B13BBF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0EDA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48D7"/>
    <w:rsid w:val="00C57CB9"/>
    <w:rsid w:val="00C609BE"/>
    <w:rsid w:val="00C61E40"/>
    <w:rsid w:val="00C61EAF"/>
    <w:rsid w:val="00C644A1"/>
    <w:rsid w:val="00C85D78"/>
    <w:rsid w:val="00C917EF"/>
    <w:rsid w:val="00C923B7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6CF2"/>
    <w:rsid w:val="00CC7DF5"/>
    <w:rsid w:val="00CD1C0C"/>
    <w:rsid w:val="00CD22F3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C07F6"/>
    <w:rsid w:val="00DC5610"/>
    <w:rsid w:val="00DD1205"/>
    <w:rsid w:val="00DD263A"/>
    <w:rsid w:val="00DD67C0"/>
    <w:rsid w:val="00DE5C3C"/>
    <w:rsid w:val="00DE63F0"/>
    <w:rsid w:val="00DF0087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36C28"/>
    <w:rsid w:val="00E404A3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63A"/>
    <w:rsid w:val="00F84CAD"/>
    <w:rsid w:val="00F85783"/>
    <w:rsid w:val="00F86F51"/>
    <w:rsid w:val="00F86F7A"/>
    <w:rsid w:val="00F903A5"/>
    <w:rsid w:val="00F91C04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5F8B"/>
    <w:rsid w:val="00FD6885"/>
    <w:rsid w:val="00FE1D49"/>
    <w:rsid w:val="00FE6715"/>
    <w:rsid w:val="00FF0429"/>
    <w:rsid w:val="00FF07BC"/>
    <w:rsid w:val="00FF5044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FCB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357</cp:revision>
  <dcterms:created xsi:type="dcterms:W3CDTF">2019-10-16T10:03:00Z</dcterms:created>
  <dcterms:modified xsi:type="dcterms:W3CDTF">2020-06-25T08:46:00Z</dcterms:modified>
</cp:coreProperties>
</file>